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720"/>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1655"/>
        <w:gridCol w:w="10585"/>
      </w:tblGrid>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Posting Number:</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02232</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Job Title:</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Assistant Director of Emergency Management, Health &amp; Safety</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Department:</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Safety and Security</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Job Summary/Basic Function:</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The Assistant Director of EM/HS assists the Director in the development, documentation, and implementation of EM and EHS training, preparedness and response for Everett Community College. The Assistant Director collaborates with a diverse campus community, including senior leadership, and develops and maintains relationships with outside agencies regarding EM and EHS response. The Assistant Director supervises an EM Coordinator.</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Typical duties include: </w:t>
            </w:r>
            <w:r w:rsidRPr="00617642">
              <w:rPr>
                <w:rFonts w:ascii="Helvetica" w:eastAsia="Times New Roman" w:hAnsi="Helvetica" w:cs="Helvetica"/>
                <w:color w:val="000000"/>
                <w:sz w:val="16"/>
                <w:szCs w:val="21"/>
              </w:rPr>
              <w:br/>
              <w:t>-Prepare for and respond to EvCC-wide events and emergencies. Facilitate and coordinate communication and response efforts. </w:t>
            </w:r>
            <w:r w:rsidRPr="00617642">
              <w:rPr>
                <w:rFonts w:ascii="Helvetica" w:eastAsia="Times New Roman" w:hAnsi="Helvetica" w:cs="Helvetica"/>
                <w:color w:val="000000"/>
                <w:sz w:val="16"/>
                <w:szCs w:val="21"/>
              </w:rPr>
              <w:br/>
              <w:t>-Develop, maintain, and improve emergency response plans. Plan, document, and coordinate updates and improvements to the Emergency Operations Plan in compliance with regulatory requirements and industry best practices. </w:t>
            </w:r>
            <w:r w:rsidRPr="00617642">
              <w:rPr>
                <w:rFonts w:ascii="Helvetica" w:eastAsia="Times New Roman" w:hAnsi="Helvetica" w:cs="Helvetica"/>
                <w:color w:val="000000"/>
                <w:sz w:val="16"/>
                <w:szCs w:val="21"/>
              </w:rPr>
              <w:br/>
              <w:t>-Provide training and awareness to emergency response team members and awareness to the campus community at large. Coordinate and partner with other departments to assist in delivering emergency preparedness training. </w:t>
            </w:r>
            <w:r w:rsidRPr="00617642">
              <w:rPr>
                <w:rFonts w:ascii="Helvetica" w:eastAsia="Times New Roman" w:hAnsi="Helvetica" w:cs="Helvetica"/>
                <w:color w:val="000000"/>
                <w:sz w:val="16"/>
                <w:szCs w:val="21"/>
              </w:rPr>
              <w:br/>
              <w:t>-Plan, facilitate, and document drills and exercises to assess the strength of the Emergency Operations Plan and the readiness of the EM Team. </w:t>
            </w:r>
            <w:r w:rsidRPr="00617642">
              <w:rPr>
                <w:rFonts w:ascii="Helvetica" w:eastAsia="Times New Roman" w:hAnsi="Helvetica" w:cs="Helvetica"/>
                <w:color w:val="000000"/>
                <w:sz w:val="16"/>
                <w:szCs w:val="21"/>
              </w:rPr>
              <w:br/>
              <w:t>-Create After Action Reports to identify and close gaps or implement process improvements. </w:t>
            </w:r>
            <w:r w:rsidRPr="00617642">
              <w:rPr>
                <w:rFonts w:ascii="Helvetica" w:eastAsia="Times New Roman" w:hAnsi="Helvetica" w:cs="Helvetica"/>
                <w:color w:val="000000"/>
                <w:sz w:val="16"/>
                <w:szCs w:val="21"/>
              </w:rPr>
              <w:br/>
              <w:t>-Ensure EM equipment and materials are in working order and meet current applicable city, state, and federal guidelines.</w:t>
            </w:r>
            <w:r w:rsidRPr="00617642">
              <w:rPr>
                <w:rFonts w:ascii="Helvetica" w:eastAsia="Times New Roman" w:hAnsi="Helvetica" w:cs="Helvetica"/>
                <w:color w:val="000000"/>
                <w:sz w:val="16"/>
                <w:szCs w:val="21"/>
              </w:rPr>
              <w:br/>
              <w:t>-Coordinate a comprehensive safety and accident prevention program including implementation of safety standards and regulations in accordance with federal &amp; state laws, regulations, policies and procedures.</w:t>
            </w:r>
            <w:r w:rsidRPr="00617642">
              <w:rPr>
                <w:rFonts w:ascii="Helvetica" w:eastAsia="Times New Roman" w:hAnsi="Helvetica" w:cs="Helvetica"/>
                <w:color w:val="000000"/>
                <w:sz w:val="16"/>
                <w:szCs w:val="21"/>
              </w:rPr>
              <w:br/>
              <w:t>-Develop and provide employee occupational safety and health training and testing programs, including all required and recommended training, such as First Aid/CPR/AED, Bloodborne Pathogens and Heat Exposure. Maintain records of employee training. </w:t>
            </w:r>
            <w:r w:rsidRPr="00617642">
              <w:rPr>
                <w:rFonts w:ascii="Helvetica" w:eastAsia="Times New Roman" w:hAnsi="Helvetica" w:cs="Helvetica"/>
                <w:color w:val="000000"/>
                <w:sz w:val="16"/>
                <w:szCs w:val="21"/>
              </w:rPr>
              <w:br/>
              <w:t>-Assist with EM and EHS portion of new employee orientation for all college employees</w:t>
            </w:r>
            <w:r w:rsidRPr="00617642">
              <w:rPr>
                <w:rFonts w:ascii="Helvetica" w:eastAsia="Times New Roman" w:hAnsi="Helvetica" w:cs="Helvetica"/>
                <w:color w:val="000000"/>
                <w:sz w:val="16"/>
                <w:szCs w:val="21"/>
              </w:rPr>
              <w:br/>
              <w:t>-Ensure testing (including annual hearing exams, noise level surveys, post incident bloodborne pathogen exposure) is completed per state and federal requirements</w:t>
            </w:r>
            <w:r w:rsidRPr="00617642">
              <w:rPr>
                <w:rFonts w:ascii="Helvetica" w:eastAsia="Times New Roman" w:hAnsi="Helvetica" w:cs="Helvetica"/>
                <w:color w:val="000000"/>
                <w:sz w:val="16"/>
                <w:szCs w:val="21"/>
              </w:rPr>
              <w:br/>
              <w:t>-Keep current with interpretation of existing as well as newly implemented provisions of WISHA/OSHA and other regulations.</w:t>
            </w:r>
            <w:r w:rsidRPr="00617642">
              <w:rPr>
                <w:rFonts w:ascii="Helvetica" w:eastAsia="Times New Roman" w:hAnsi="Helvetica" w:cs="Helvetica"/>
                <w:color w:val="000000"/>
                <w:sz w:val="16"/>
                <w:szCs w:val="21"/>
              </w:rPr>
              <w:br/>
              <w:t>-Research, make recommendations and assist with the development of College policies and procedures related to occupational safety and health.</w:t>
            </w:r>
            <w:r w:rsidRPr="00617642">
              <w:rPr>
                <w:rFonts w:ascii="Helvetica" w:eastAsia="Times New Roman" w:hAnsi="Helvetica" w:cs="Helvetica"/>
                <w:color w:val="000000"/>
                <w:sz w:val="16"/>
                <w:szCs w:val="21"/>
              </w:rPr>
              <w:br/>
              <w:t>-Maintain and disseminate safety materials and documents including the Accident Prevention Program and OSHA standards including Material Safety Data Sheets and those related to Lockout/Tag out.</w:t>
            </w:r>
            <w:r w:rsidRPr="00617642">
              <w:rPr>
                <w:rFonts w:ascii="Helvetica" w:eastAsia="Times New Roman" w:hAnsi="Helvetica" w:cs="Helvetica"/>
                <w:color w:val="000000"/>
                <w:sz w:val="16"/>
                <w:szCs w:val="21"/>
              </w:rPr>
              <w:br/>
              <w:t>-Inspect job sites for accident prevention controls including use of prescribed safety equipment and methods; observe workers for proper use of Personal Protective Equipment; monitor noise, toxic and other hazards.</w:t>
            </w:r>
            <w:r w:rsidRPr="00617642">
              <w:rPr>
                <w:rFonts w:ascii="Helvetica" w:eastAsia="Times New Roman" w:hAnsi="Helvetica" w:cs="Helvetica"/>
                <w:color w:val="000000"/>
                <w:sz w:val="16"/>
                <w:szCs w:val="21"/>
              </w:rPr>
              <w:br/>
              <w:t>-Identify hazards and recommend mitigation strategies &amp; plans. </w:t>
            </w:r>
            <w:r w:rsidRPr="00617642">
              <w:rPr>
                <w:rFonts w:ascii="Helvetica" w:eastAsia="Times New Roman" w:hAnsi="Helvetica" w:cs="Helvetica"/>
                <w:color w:val="000000"/>
                <w:sz w:val="16"/>
                <w:szCs w:val="21"/>
              </w:rPr>
              <w:br/>
              <w:t>-Maintain ethical, respectful, and open communication that is inclusive of diverse backgrounds, perspectives, and experiences</w:t>
            </w:r>
            <w:r w:rsidRPr="00617642">
              <w:rPr>
                <w:rFonts w:ascii="Helvetica" w:eastAsia="Times New Roman" w:hAnsi="Helvetica" w:cs="Helvetica"/>
                <w:color w:val="000000"/>
                <w:sz w:val="16"/>
                <w:szCs w:val="21"/>
              </w:rPr>
              <w:br/>
              <w:t>-May serve as the director-in-charge in the absence of the Director.</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Minimum Qualifications:</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-Associate Degree in Emergency Management (EM) or Environmental Health and Safety (EHS) or a related field. Seven years of related experience may substitute for the educational requirement.</w:t>
            </w:r>
            <w:r w:rsidRPr="00617642">
              <w:rPr>
                <w:rFonts w:ascii="Helvetica" w:eastAsia="Times New Roman" w:hAnsi="Helvetica" w:cs="Helvetica"/>
                <w:color w:val="000000"/>
                <w:sz w:val="16"/>
                <w:szCs w:val="21"/>
              </w:rPr>
              <w:br/>
              <w:t>-Five years of experience in EM, EHS, Public Safety, Security or a closely related field</w:t>
            </w:r>
            <w:r w:rsidRPr="00617642">
              <w:rPr>
                <w:rFonts w:ascii="Helvetica" w:eastAsia="Times New Roman" w:hAnsi="Helvetica" w:cs="Helvetica"/>
                <w:color w:val="000000"/>
                <w:sz w:val="16"/>
                <w:szCs w:val="21"/>
              </w:rPr>
              <w:br/>
              <w:t>-Demonstrated ability to engage, build relationships, and work effectively with culturally and socioeconomically diverse populations on campus and across the college’s service area</w:t>
            </w:r>
            <w:r w:rsidRPr="00617642">
              <w:rPr>
                <w:rFonts w:ascii="Helvetica" w:eastAsia="Times New Roman" w:hAnsi="Helvetica" w:cs="Helvetica"/>
                <w:color w:val="000000"/>
                <w:sz w:val="16"/>
                <w:szCs w:val="21"/>
              </w:rPr>
              <w:br/>
              <w:t>-Three years of supervisory experience</w:t>
            </w:r>
            <w:r w:rsidRPr="00617642">
              <w:rPr>
                <w:rFonts w:ascii="Helvetica" w:eastAsia="Times New Roman" w:hAnsi="Helvetica" w:cs="Helvetica"/>
                <w:color w:val="000000"/>
                <w:sz w:val="16"/>
                <w:szCs w:val="21"/>
              </w:rPr>
              <w:br/>
              <w:t>-Excellent verbal and written communication skills</w:t>
            </w:r>
            <w:r w:rsidRPr="00617642">
              <w:rPr>
                <w:rFonts w:ascii="Helvetica" w:eastAsia="Times New Roman" w:hAnsi="Helvetica" w:cs="Helvetica"/>
                <w:color w:val="000000"/>
                <w:sz w:val="16"/>
                <w:szCs w:val="21"/>
              </w:rPr>
              <w:br/>
              <w:t>-Proficient with computer software</w:t>
            </w:r>
            <w:r w:rsidRPr="00617642">
              <w:rPr>
                <w:rFonts w:ascii="Helvetica" w:eastAsia="Times New Roman" w:hAnsi="Helvetica" w:cs="Helvetica"/>
                <w:color w:val="000000"/>
                <w:sz w:val="16"/>
                <w:szCs w:val="21"/>
              </w:rPr>
              <w:br/>
              <w:t>-Valid motor vehicle Driver’s License and ability to pass a driving record check</w:t>
            </w:r>
            <w:r w:rsidRPr="00617642">
              <w:rPr>
                <w:rFonts w:ascii="Helvetica" w:eastAsia="Times New Roman" w:hAnsi="Helvetica" w:cs="Helvetica"/>
                <w:color w:val="000000"/>
                <w:sz w:val="16"/>
                <w:szCs w:val="21"/>
              </w:rPr>
              <w:br/>
              <w:t>-Demonstrated ability to work with confidential and sensitive materials and issues</w:t>
            </w:r>
            <w:r w:rsidRPr="00617642">
              <w:rPr>
                <w:rFonts w:ascii="Helvetica" w:eastAsia="Times New Roman" w:hAnsi="Helvetica" w:cs="Helvetica"/>
                <w:color w:val="000000"/>
                <w:sz w:val="16"/>
                <w:szCs w:val="21"/>
              </w:rPr>
              <w:br/>
              <w:t>-Demonstrated skills in conflict management, dispute resolution, and team building</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Preferred Qualifications:</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-Professional certifications in the EM field such as Certified Emergency Manager or Master Exercise Practitioner highly desired</w:t>
            </w:r>
            <w:r w:rsidRPr="00617642">
              <w:rPr>
                <w:rFonts w:ascii="Helvetica" w:eastAsia="Times New Roman" w:hAnsi="Helvetica" w:cs="Helvetica"/>
                <w:color w:val="000000"/>
                <w:sz w:val="16"/>
                <w:szCs w:val="21"/>
              </w:rPr>
              <w:br/>
              <w:t>-Demonstrated knowledge of the National Incident Management System and Incident Command System </w:t>
            </w:r>
            <w:r w:rsidRPr="00617642">
              <w:rPr>
                <w:rFonts w:ascii="Helvetica" w:eastAsia="Times New Roman" w:hAnsi="Helvetica" w:cs="Helvetica"/>
                <w:color w:val="000000"/>
                <w:sz w:val="16"/>
                <w:szCs w:val="21"/>
              </w:rPr>
              <w:br/>
              <w:t>-Certification in safety and health management</w:t>
            </w:r>
            <w:r w:rsidRPr="00617642">
              <w:rPr>
                <w:rFonts w:ascii="Helvetica" w:eastAsia="Times New Roman" w:hAnsi="Helvetica" w:cs="Helvetica"/>
                <w:color w:val="000000"/>
                <w:sz w:val="16"/>
                <w:szCs w:val="21"/>
              </w:rPr>
              <w:br/>
            </w:r>
            <w:r w:rsidRPr="00617642">
              <w:rPr>
                <w:rFonts w:ascii="Helvetica" w:eastAsia="Times New Roman" w:hAnsi="Helvetica" w:cs="Helvetica"/>
                <w:color w:val="000000"/>
                <w:sz w:val="16"/>
                <w:szCs w:val="21"/>
              </w:rPr>
              <w:lastRenderedPageBreak/>
              <w:t>-Knowledge of applicable laws including FERPA, ADA, and Campus Safety Act, knowledge of OSHA/WISHA regulations</w:t>
            </w:r>
            <w:r w:rsidRPr="00617642">
              <w:rPr>
                <w:rFonts w:ascii="Helvetica" w:eastAsia="Times New Roman" w:hAnsi="Helvetica" w:cs="Helvetica"/>
                <w:color w:val="000000"/>
                <w:sz w:val="16"/>
                <w:szCs w:val="21"/>
              </w:rPr>
              <w:br/>
              <w:t>-Experience in EM or EHS operations on a college or university campus with a unionized workforce</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lastRenderedPageBreak/>
              <w:t>Physical Demands</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Everett Community College follows the Americans with Disability Act and provides the following information as a guideline for applicants:</w:t>
            </w:r>
            <w:r w:rsidRPr="00617642">
              <w:rPr>
                <w:rFonts w:ascii="Helvetica" w:eastAsia="Times New Roman" w:hAnsi="Helvetica" w:cs="Helvetica"/>
                <w:color w:val="000000"/>
                <w:sz w:val="16"/>
                <w:szCs w:val="21"/>
              </w:rPr>
              <w:br/>
              <w:t>-Ability to operate office equipment</w:t>
            </w:r>
            <w:r w:rsidRPr="00617642">
              <w:rPr>
                <w:rFonts w:ascii="Helvetica" w:eastAsia="Times New Roman" w:hAnsi="Helvetica" w:cs="Helvetica"/>
                <w:color w:val="000000"/>
                <w:sz w:val="16"/>
                <w:szCs w:val="21"/>
              </w:rPr>
              <w:br/>
              <w:t>-Ability to read and verify data and prepare various materials</w:t>
            </w:r>
            <w:r w:rsidRPr="00617642">
              <w:rPr>
                <w:rFonts w:ascii="Helvetica" w:eastAsia="Times New Roman" w:hAnsi="Helvetica" w:cs="Helvetica"/>
                <w:color w:val="000000"/>
                <w:sz w:val="16"/>
                <w:szCs w:val="21"/>
              </w:rPr>
              <w:br/>
              <w:t>-Ability to exchange information on the phone or in person</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Work Hours:</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 xml:space="preserve">Typical working hours are 8am to 5pm Monday – Friday. Some </w:t>
            </w:r>
            <w:r w:rsidR="006B2F43" w:rsidRPr="00617642">
              <w:rPr>
                <w:rFonts w:ascii="Helvetica" w:eastAsia="Times New Roman" w:hAnsi="Helvetica" w:cs="Helvetica"/>
                <w:color w:val="000000"/>
                <w:sz w:val="16"/>
                <w:szCs w:val="21"/>
              </w:rPr>
              <w:t>nighttime</w:t>
            </w:r>
            <w:r w:rsidRPr="00617642">
              <w:rPr>
                <w:rFonts w:ascii="Helvetica" w:eastAsia="Times New Roman" w:hAnsi="Helvetica" w:cs="Helvetica"/>
                <w:color w:val="000000"/>
                <w:sz w:val="16"/>
                <w:szCs w:val="21"/>
              </w:rPr>
              <w:t xml:space="preserve"> and weekend hours required. Summer schedule is Monday-Thursday.</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Posting Date:</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08/15/2019</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Closing Date:</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09/05/2019</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Open Until Filled</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No</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Special Instructions to Applicants:</w:t>
            </w:r>
          </w:p>
        </w:tc>
        <w:tc>
          <w:tcPr>
            <w:tcW w:w="10585" w:type="dxa"/>
            <w:shd w:val="clear" w:color="auto" w:fill="EFEFEF"/>
            <w:tcMar>
              <w:top w:w="120" w:type="dxa"/>
              <w:left w:w="120" w:type="dxa"/>
              <w:bottom w:w="120" w:type="dxa"/>
              <w:right w:w="120" w:type="dxa"/>
            </w:tcMar>
            <w:vAlign w:val="center"/>
            <w:hideMark/>
          </w:tcPr>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Everett Community College’s vision, strategic plan and core themes value, respect and uphold diversity, equity, cultural competence and inclusion. Hiring and retaining a diverse workforce is a commitment for our institution.</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Everett Community College does not discriminate on the basis of race, color, religious belief, sex, marital status, sexual orientation, gender identity or expression, national or ethnic origin, disability, genetic information, veteran status, or age in its programs, activities, or employment.</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Notice to Applicants</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Drug-Free Campus</w:t>
            </w:r>
            <w:r w:rsidRPr="00617642">
              <w:rPr>
                <w:rFonts w:ascii="Helvetica" w:eastAsia="Times New Roman" w:hAnsi="Helvetica" w:cs="Helvetica"/>
                <w:color w:val="000000"/>
                <w:sz w:val="16"/>
                <w:szCs w:val="21"/>
              </w:rPr>
              <w:br/>
              <w:t xml:space="preserve">In compliance with federal and state regulations, EvCC is committed to a safe and drug-free campus. Employees are required to comply with </w:t>
            </w:r>
            <w:proofErr w:type="spellStart"/>
            <w:r w:rsidRPr="00617642">
              <w:rPr>
                <w:rFonts w:ascii="Helvetica" w:eastAsia="Times New Roman" w:hAnsi="Helvetica" w:cs="Helvetica"/>
                <w:color w:val="000000"/>
                <w:sz w:val="16"/>
                <w:szCs w:val="21"/>
              </w:rPr>
              <w:t>EvCC’s</w:t>
            </w:r>
            <w:proofErr w:type="spellEnd"/>
            <w:r w:rsidRPr="00617642">
              <w:rPr>
                <w:rFonts w:ascii="Helvetica" w:eastAsia="Times New Roman" w:hAnsi="Helvetica" w:cs="Helvetica"/>
                <w:color w:val="000000"/>
                <w:sz w:val="16"/>
                <w:szCs w:val="21"/>
              </w:rPr>
              <w:t xml:space="preserve"> policy prohibiting illegal drug use or activity, including notification of criminal drug convictions and the use of prescription drugs or over-the-counter medications that are likely to affect job safety.</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The complete policy is available at the EvCC Policies page. If you would like a printed copy of the policy, or if you have any questions, please contact the Human Resources Department at 425-388-9229.</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Safety and Security</w:t>
            </w:r>
            <w:r w:rsidRPr="00617642">
              <w:rPr>
                <w:rFonts w:ascii="Helvetica" w:eastAsia="Times New Roman" w:hAnsi="Helvetica" w:cs="Helvetica"/>
                <w:color w:val="000000"/>
                <w:sz w:val="16"/>
                <w:szCs w:val="21"/>
              </w:rPr>
              <w:br/>
              <w:t xml:space="preserve">EvCC strives to be a safe, secure and prepared campus for our students, staff and community. Detailed information regarding campus security, crime statistics for the most recent </w:t>
            </w:r>
            <w:r w:rsidR="00E523F9" w:rsidRPr="00617642">
              <w:rPr>
                <w:rFonts w:ascii="Helvetica" w:eastAsia="Times New Roman" w:hAnsi="Helvetica" w:cs="Helvetica"/>
                <w:color w:val="000000"/>
                <w:sz w:val="16"/>
                <w:szCs w:val="21"/>
              </w:rPr>
              <w:t>three-year</w:t>
            </w:r>
            <w:r w:rsidRPr="00617642">
              <w:rPr>
                <w:rFonts w:ascii="Helvetica" w:eastAsia="Times New Roman" w:hAnsi="Helvetica" w:cs="Helvetica"/>
                <w:color w:val="000000"/>
                <w:sz w:val="16"/>
                <w:szCs w:val="21"/>
              </w:rPr>
              <w:t xml:space="preserve"> period, and other information is available on the Campus Safety, Security and Emergency Management page.</w:t>
            </w:r>
          </w:p>
          <w:p w:rsidR="00617642" w:rsidRPr="00617642" w:rsidRDefault="00617642" w:rsidP="00617642">
            <w:pPr>
              <w:spacing w:after="15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This information is required by law and is provided by the EvCC Security Department. If you would like a printed copy of this information, you may contact the Security Department at (425) 388-9990.</w:t>
            </w:r>
          </w:p>
        </w:tc>
      </w:tr>
      <w:tr w:rsidR="00617642" w:rsidRPr="00617642" w:rsidTr="00617642">
        <w:tc>
          <w:tcPr>
            <w:tcW w:w="1655" w:type="dxa"/>
            <w:shd w:val="clear" w:color="auto" w:fill="DDDDDD"/>
            <w:tcMar>
              <w:top w:w="120" w:type="dxa"/>
              <w:left w:w="120" w:type="dxa"/>
              <w:bottom w:w="120" w:type="dxa"/>
              <w:right w:w="120" w:type="dxa"/>
            </w:tcMar>
            <w:vAlign w:val="center"/>
            <w:hideMark/>
          </w:tcPr>
          <w:p w:rsidR="00617642" w:rsidRPr="00617642" w:rsidRDefault="00617642" w:rsidP="00617642">
            <w:pPr>
              <w:spacing w:after="0" w:line="264" w:lineRule="atLeast"/>
              <w:rPr>
                <w:rFonts w:ascii="Helvetica" w:eastAsia="Times New Roman" w:hAnsi="Helvetica" w:cs="Helvetica"/>
                <w:b/>
                <w:bCs/>
                <w:color w:val="000000"/>
                <w:sz w:val="16"/>
                <w:szCs w:val="21"/>
              </w:rPr>
            </w:pPr>
            <w:r w:rsidRPr="00617642">
              <w:rPr>
                <w:rFonts w:ascii="Helvetica" w:eastAsia="Times New Roman" w:hAnsi="Helvetica" w:cs="Helvetica"/>
                <w:b/>
                <w:bCs/>
                <w:color w:val="000000"/>
                <w:sz w:val="16"/>
                <w:szCs w:val="21"/>
              </w:rPr>
              <w:t>Salary</w:t>
            </w:r>
          </w:p>
        </w:tc>
        <w:tc>
          <w:tcPr>
            <w:tcW w:w="10585" w:type="dxa"/>
            <w:shd w:val="clear" w:color="auto" w:fill="EFEFEF"/>
            <w:tcMar>
              <w:top w:w="120" w:type="dxa"/>
              <w:left w:w="120" w:type="dxa"/>
              <w:bottom w:w="120" w:type="dxa"/>
              <w:right w:w="120" w:type="dxa"/>
            </w:tcMar>
            <w:vAlign w:val="center"/>
            <w:hideMark/>
          </w:tcPr>
          <w:p w:rsidR="006B2F43" w:rsidRPr="00617642" w:rsidRDefault="00617642" w:rsidP="006B2F43">
            <w:pPr>
              <w:spacing w:after="0" w:line="264" w:lineRule="atLeast"/>
              <w:rPr>
                <w:rFonts w:ascii="Helvetica" w:eastAsia="Times New Roman" w:hAnsi="Helvetica" w:cs="Helvetica"/>
                <w:color w:val="000000"/>
                <w:sz w:val="16"/>
                <w:szCs w:val="21"/>
              </w:rPr>
            </w:pPr>
            <w:r w:rsidRPr="00617642">
              <w:rPr>
                <w:rFonts w:ascii="Helvetica" w:eastAsia="Times New Roman" w:hAnsi="Helvetica" w:cs="Helvetica"/>
                <w:color w:val="000000"/>
                <w:sz w:val="16"/>
                <w:szCs w:val="21"/>
              </w:rPr>
              <w:t>$65,000 - $70,000 plus benefits</w:t>
            </w:r>
          </w:p>
        </w:tc>
      </w:tr>
      <w:tr w:rsidR="006B2F43" w:rsidRPr="00617642" w:rsidTr="00617642">
        <w:tc>
          <w:tcPr>
            <w:tcW w:w="1655" w:type="dxa"/>
            <w:shd w:val="clear" w:color="auto" w:fill="DDDDDD"/>
            <w:tcMar>
              <w:top w:w="120" w:type="dxa"/>
              <w:left w:w="120" w:type="dxa"/>
              <w:bottom w:w="120" w:type="dxa"/>
              <w:right w:w="120" w:type="dxa"/>
            </w:tcMar>
            <w:vAlign w:val="center"/>
          </w:tcPr>
          <w:p w:rsidR="006B2F43" w:rsidRPr="00617642" w:rsidRDefault="006B2F43" w:rsidP="00617642">
            <w:pPr>
              <w:spacing w:after="0" w:line="264" w:lineRule="atLeast"/>
              <w:rPr>
                <w:rFonts w:ascii="Helvetica" w:eastAsia="Times New Roman" w:hAnsi="Helvetica" w:cs="Helvetica"/>
                <w:b/>
                <w:bCs/>
                <w:color w:val="000000"/>
                <w:sz w:val="16"/>
                <w:szCs w:val="21"/>
              </w:rPr>
            </w:pPr>
            <w:r>
              <w:rPr>
                <w:rFonts w:ascii="Helvetica" w:eastAsia="Times New Roman" w:hAnsi="Helvetica" w:cs="Helvetica"/>
                <w:b/>
                <w:bCs/>
                <w:color w:val="000000"/>
                <w:sz w:val="16"/>
                <w:szCs w:val="21"/>
              </w:rPr>
              <w:t>Link/apply</w:t>
            </w:r>
          </w:p>
        </w:tc>
        <w:tc>
          <w:tcPr>
            <w:tcW w:w="10585" w:type="dxa"/>
            <w:shd w:val="clear" w:color="auto" w:fill="EFEFEF"/>
            <w:tcMar>
              <w:top w:w="120" w:type="dxa"/>
              <w:left w:w="120" w:type="dxa"/>
              <w:bottom w:w="120" w:type="dxa"/>
              <w:right w:w="120" w:type="dxa"/>
            </w:tcMar>
            <w:vAlign w:val="center"/>
          </w:tcPr>
          <w:p w:rsidR="006B2F43" w:rsidRPr="00617642" w:rsidRDefault="006B2F43" w:rsidP="006B2F43">
            <w:pPr>
              <w:spacing w:after="0" w:line="264" w:lineRule="atLeast"/>
              <w:rPr>
                <w:rFonts w:ascii="Helvetica" w:eastAsia="Times New Roman" w:hAnsi="Helvetica" w:cs="Helvetica"/>
                <w:color w:val="000000"/>
                <w:sz w:val="16"/>
                <w:szCs w:val="21"/>
              </w:rPr>
            </w:pPr>
            <w:r w:rsidRPr="006B2F43">
              <w:rPr>
                <w:rFonts w:ascii="Helvetica" w:eastAsia="Times New Roman" w:hAnsi="Helvetica" w:cs="Helvetica"/>
                <w:color w:val="000000"/>
                <w:sz w:val="16"/>
                <w:szCs w:val="21"/>
              </w:rPr>
              <w:t>https://employment.everettcc.edu/postings/4754</w:t>
            </w:r>
          </w:p>
        </w:tc>
      </w:tr>
    </w:tbl>
    <w:p w:rsidR="00641257" w:rsidRPr="00617642" w:rsidRDefault="006B2F43">
      <w:pPr>
        <w:rPr>
          <w:sz w:val="16"/>
        </w:rPr>
      </w:pPr>
      <w:bookmarkStart w:id="0" w:name="_GoBack"/>
      <w:bookmarkEnd w:id="0"/>
    </w:p>
    <w:sectPr w:rsidR="00641257" w:rsidRPr="00617642" w:rsidSect="00617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2"/>
    <w:rsid w:val="00617642"/>
    <w:rsid w:val="006B2F43"/>
    <w:rsid w:val="007F6F14"/>
    <w:rsid w:val="00A440D3"/>
    <w:rsid w:val="00D555B3"/>
    <w:rsid w:val="00E5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F79B"/>
  <w15:chartTrackingRefBased/>
  <w15:docId w15:val="{AA867C4E-F9A6-4716-A943-001B02E9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6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5039">
      <w:bodyDiv w:val="1"/>
      <w:marLeft w:val="0"/>
      <w:marRight w:val="0"/>
      <w:marTop w:val="0"/>
      <w:marBottom w:val="0"/>
      <w:divBdr>
        <w:top w:val="none" w:sz="0" w:space="0" w:color="auto"/>
        <w:left w:val="none" w:sz="0" w:space="0" w:color="auto"/>
        <w:bottom w:val="none" w:sz="0" w:space="0" w:color="auto"/>
        <w:right w:val="none" w:sz="0" w:space="0" w:color="auto"/>
      </w:divBdr>
    </w:div>
    <w:div w:id="8230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D083-CAAC-4977-B8B1-0C862543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Macklin</dc:creator>
  <cp:keywords/>
  <dc:description/>
  <cp:lastModifiedBy>Chuck Macklin</cp:lastModifiedBy>
  <cp:revision>3</cp:revision>
  <dcterms:created xsi:type="dcterms:W3CDTF">2019-08-16T01:02:00Z</dcterms:created>
  <dcterms:modified xsi:type="dcterms:W3CDTF">2019-08-16T01:11:00Z</dcterms:modified>
</cp:coreProperties>
</file>